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2"/>
        <w:rPr>
          <w:rFonts w:ascii="华文中宋" w:hAnsi="华文中宋" w:eastAsia="华文中宋" w:cs="华文中宋"/>
          <w:kern w:val="0"/>
          <w:sz w:val="44"/>
          <w:szCs w:val="44"/>
        </w:rPr>
      </w:pPr>
    </w:p>
    <w:p>
      <w:pPr>
        <w:widowControl/>
        <w:shd w:val="clear" w:color="auto" w:fill="FFFFFF"/>
        <w:spacing w:line="560" w:lineRule="exact"/>
        <w:jc w:val="center"/>
        <w:outlineLvl w:val="2"/>
        <w:rPr>
          <w:rFonts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忻州市发展和改革委员会</w:t>
      </w:r>
    </w:p>
    <w:p>
      <w:pPr>
        <w:widowControl/>
        <w:shd w:val="clear" w:color="auto" w:fill="FFFFFF"/>
        <w:spacing w:line="560" w:lineRule="exact"/>
        <w:jc w:val="center"/>
        <w:outlineLvl w:val="2"/>
        <w:rPr>
          <w:rFonts w:ascii="方正小标宋简体" w:hAnsi="华文中宋" w:eastAsia="方正小标宋简体" w:cs="华文中宋"/>
          <w:kern w:val="0"/>
          <w:sz w:val="44"/>
          <w:szCs w:val="44"/>
        </w:rPr>
      </w:pPr>
      <w:r>
        <w:rPr>
          <w:rFonts w:ascii="方正小标宋简体" w:hAnsi="华文中宋" w:eastAsia="方正小标宋简体" w:cs="华文中宋"/>
          <w:kern w:val="0"/>
          <w:sz w:val="44"/>
          <w:szCs w:val="44"/>
        </w:rPr>
        <w:t>20</w:t>
      </w:r>
      <w:r>
        <w:rPr>
          <w:rFonts w:hint="eastAsia" w:ascii="方正小标宋简体" w:hAnsi="华文中宋" w:eastAsia="方正小标宋简体" w:cs="华文中宋"/>
          <w:kern w:val="0"/>
          <w:sz w:val="44"/>
          <w:szCs w:val="44"/>
        </w:rPr>
        <w:t>20年政府信息公开工作年度报告</w:t>
      </w:r>
    </w:p>
    <w:p>
      <w:pPr>
        <w:widowControl/>
        <w:shd w:val="clear" w:color="auto" w:fill="FFFFFF"/>
        <w:spacing w:line="560" w:lineRule="exact"/>
        <w:ind w:firstLine="640" w:firstLineChars="200"/>
        <w:jc w:val="left"/>
        <w:rPr>
          <w:rFonts w:ascii="仿宋_GB2312" w:hAnsi="仿宋" w:eastAsia="仿宋_GB2312" w:cs="仿宋"/>
          <w:sz w:val="32"/>
          <w:szCs w:val="32"/>
          <w:shd w:val="clear" w:color="auto" w:fill="FFFFFF"/>
        </w:rPr>
      </w:pPr>
    </w:p>
    <w:p>
      <w:pPr>
        <w:widowControl/>
        <w:shd w:val="clear" w:color="auto" w:fill="FFFFFF"/>
        <w:spacing w:line="560" w:lineRule="exact"/>
        <w:ind w:firstLine="640" w:firstLineChars="200"/>
        <w:jc w:val="left"/>
        <w:rPr>
          <w:rFonts w:ascii="仿宋_GB2312" w:hAnsi="仿宋" w:eastAsia="仿宋_GB2312" w:cs="仿宋"/>
          <w:sz w:val="32"/>
          <w:szCs w:val="32"/>
          <w:shd w:val="clear" w:color="auto" w:fill="FFFFFF"/>
        </w:rPr>
      </w:pPr>
      <w:r>
        <w:rPr>
          <w:rFonts w:hint="eastAsia" w:ascii="仿宋_GB2312" w:hAnsi="Times New Roman" w:eastAsia="仿宋_GB2312"/>
          <w:sz w:val="32"/>
          <w:szCs w:val="32"/>
        </w:rPr>
        <w:t>2020年我委</w:t>
      </w:r>
      <w:r>
        <w:rPr>
          <w:rFonts w:hint="eastAsia" w:ascii="仿宋_GB2312" w:hAnsi="仿宋" w:eastAsia="仿宋_GB2312" w:cs="仿宋"/>
          <w:sz w:val="32"/>
          <w:szCs w:val="32"/>
          <w:shd w:val="clear" w:color="auto" w:fill="FFFFFF"/>
        </w:rPr>
        <w:t>认真</w:t>
      </w:r>
      <w:r>
        <w:rPr>
          <w:rFonts w:hint="eastAsia" w:ascii="仿宋_GB2312" w:hAnsi="Times New Roman" w:eastAsia="仿宋_GB2312"/>
          <w:sz w:val="32"/>
          <w:szCs w:val="32"/>
        </w:rPr>
        <w:t>贯彻</w:t>
      </w:r>
      <w:r>
        <w:rPr>
          <w:rFonts w:hint="eastAsia" w:ascii="仿宋_GB2312" w:hAnsi="仿宋" w:eastAsia="仿宋_GB2312" w:cs="仿宋"/>
          <w:sz w:val="32"/>
          <w:szCs w:val="32"/>
          <w:shd w:val="clear" w:color="auto" w:fill="FFFFFF"/>
        </w:rPr>
        <w:t>落实</w:t>
      </w:r>
      <w:r>
        <w:rPr>
          <w:rFonts w:hint="eastAsia" w:ascii="仿宋_GB2312" w:hAnsi="仿宋" w:eastAsia="仿宋_GB2312" w:cs="仿宋"/>
          <w:sz w:val="32"/>
          <w:szCs w:val="32"/>
        </w:rPr>
        <w:t>忻州市人民政府办公室关于政务公开工作要点的通知</w:t>
      </w:r>
      <w:r>
        <w:rPr>
          <w:rFonts w:hint="eastAsia" w:ascii="仿宋_GB2312" w:hAnsi="仿宋" w:eastAsia="仿宋_GB2312" w:cs="仿宋"/>
          <w:sz w:val="32"/>
          <w:szCs w:val="32"/>
          <w:shd w:val="clear" w:color="auto" w:fill="FFFFFF"/>
        </w:rPr>
        <w:t>精神，发挥政务公开围绕中心、服务大局的作用，全面推进机构职能及重点工作信息公开，</w:t>
      </w:r>
      <w:r>
        <w:rPr>
          <w:rFonts w:hint="eastAsia" w:ascii="仿宋_GB2312" w:hAnsi="仿宋" w:eastAsia="仿宋_GB2312" w:cs="仿宋"/>
          <w:kern w:val="0"/>
          <w:sz w:val="32"/>
          <w:szCs w:val="32"/>
        </w:rPr>
        <w:t>较好地满足了社会公众获取、利用信息的需求。现将2020年度政府信息公开工作情况报告如下：</w:t>
      </w:r>
    </w:p>
    <w:p>
      <w:pPr>
        <w:widowControl/>
        <w:shd w:val="clear" w:color="auto" w:fill="FFFFFF"/>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一、总体情况</w:t>
      </w:r>
    </w:p>
    <w:p>
      <w:pPr>
        <w:widowControl/>
        <w:shd w:val="clear" w:color="auto" w:fill="FFFFFF"/>
        <w:spacing w:line="5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(一)为了使政务公开有序开展，市发展改革委根据《中华人民共和国政府信息公开条例》要求，扎实推进政府信息公开工作，将政府信息公开纳入重要议事日程，确立了政务公开工作目标，制定了</w:t>
      </w:r>
      <w:r>
        <w:rPr>
          <w:rFonts w:hint="eastAsia" w:ascii="仿宋_GB2312" w:hAnsi="仿宋" w:eastAsia="仿宋_GB2312" w:cs="仿宋"/>
          <w:sz w:val="32"/>
          <w:szCs w:val="32"/>
        </w:rPr>
        <w:t>忻州市发展和改革委员会2020年政务公开工作要点</w:t>
      </w:r>
      <w:r>
        <w:rPr>
          <w:rFonts w:hint="eastAsia" w:ascii="仿宋_GB2312" w:hAnsi="仿宋" w:eastAsia="仿宋_GB2312" w:cs="仿宋"/>
          <w:kern w:val="0"/>
          <w:sz w:val="32"/>
          <w:szCs w:val="32"/>
        </w:rPr>
        <w:t>，明确信息公开原则，明晰公开流程，在保证信息安全的前提下，做到了“应公开尽公开”。</w:t>
      </w:r>
    </w:p>
    <w:p>
      <w:pPr>
        <w:widowControl/>
        <w:shd w:val="clear" w:color="auto" w:fill="FFFFFF"/>
        <w:spacing w:line="560" w:lineRule="exact"/>
        <w:ind w:firstLine="643" w:firstLineChars="200"/>
        <w:jc w:val="left"/>
        <w:rPr>
          <w:rFonts w:ascii="仿宋_GB2312" w:hAnsi="仿宋" w:eastAsia="仿宋_GB2312" w:cs="仿宋"/>
          <w:kern w:val="0"/>
          <w:sz w:val="32"/>
          <w:szCs w:val="32"/>
        </w:rPr>
      </w:pPr>
      <w:r>
        <w:rPr>
          <w:rFonts w:hint="eastAsia" w:ascii="仿宋_GB2312" w:hAnsi="仿宋" w:eastAsia="仿宋_GB2312" w:cs="仿宋"/>
          <w:b/>
          <w:bCs/>
          <w:kern w:val="0"/>
          <w:sz w:val="32"/>
          <w:szCs w:val="32"/>
        </w:rPr>
        <w:t>1、加强学习。</w:t>
      </w:r>
      <w:r>
        <w:rPr>
          <w:rFonts w:hint="eastAsia" w:ascii="仿宋_GB2312" w:hAnsi="仿宋" w:eastAsia="仿宋_GB2312" w:cs="仿宋"/>
          <w:kern w:val="0"/>
          <w:sz w:val="32"/>
          <w:szCs w:val="32"/>
        </w:rPr>
        <w:t>组织全委干部职工认真学习《中华人民共和国政府信息公开条例》，对政府信息公开的主体和原则、范围和内容、方式和程序，监督和保障等有了明确的了解，增强了对《条例》重要意义的认识和贯彻落实《条例》的主动性和自觉性，为建立健全工作机制和制度奠定了基础。</w:t>
      </w:r>
    </w:p>
    <w:p>
      <w:pPr>
        <w:widowControl/>
        <w:shd w:val="clear" w:color="auto" w:fill="FFFFFF"/>
        <w:spacing w:line="560" w:lineRule="exact"/>
        <w:ind w:firstLine="643" w:firstLineChars="200"/>
        <w:jc w:val="left"/>
        <w:rPr>
          <w:rFonts w:ascii="仿宋_GB2312" w:hAnsi="仿宋" w:eastAsia="仿宋_GB2312" w:cs="仿宋"/>
          <w:kern w:val="0"/>
          <w:sz w:val="32"/>
          <w:szCs w:val="32"/>
        </w:rPr>
      </w:pPr>
      <w:r>
        <w:rPr>
          <w:rFonts w:hint="eastAsia" w:ascii="仿宋_GB2312" w:hAnsi="仿宋" w:eastAsia="仿宋_GB2312" w:cs="仿宋"/>
          <w:b/>
          <w:bCs/>
          <w:kern w:val="0"/>
          <w:sz w:val="32"/>
          <w:szCs w:val="32"/>
        </w:rPr>
        <w:t>2、定期通报。</w:t>
      </w:r>
      <w:r>
        <w:rPr>
          <w:rFonts w:hint="eastAsia" w:ascii="仿宋_GB2312" w:hAnsi="仿宋" w:eastAsia="仿宋_GB2312" w:cs="仿宋"/>
          <w:kern w:val="0"/>
          <w:sz w:val="32"/>
          <w:szCs w:val="32"/>
        </w:rPr>
        <w:t>全委每季度对各科室信息公开情况进行通报一次，并将信息公开情况纳入委内目标考核，与年终评比优秀科室和先进个人挂钩，使信息最大限度予以公开。</w:t>
      </w:r>
    </w:p>
    <w:p>
      <w:pPr>
        <w:widowControl/>
        <w:shd w:val="clear" w:color="auto" w:fill="FFFFFF"/>
        <w:spacing w:line="560" w:lineRule="exact"/>
        <w:ind w:firstLine="640" w:firstLineChars="200"/>
        <w:jc w:val="left"/>
        <w:rPr>
          <w:rFonts w:ascii="仿宋_GB2312" w:hAnsi="仿宋" w:eastAsia="仿宋_GB2312" w:cs="仿宋"/>
          <w:kern w:val="0"/>
          <w:sz w:val="32"/>
          <w:szCs w:val="32"/>
        </w:rPr>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pPr>
    </w:p>
    <w:p>
      <w:pPr>
        <w:widowControl/>
        <w:shd w:val="clear" w:color="auto" w:fill="FFFFFF"/>
        <w:spacing w:line="560" w:lineRule="exact"/>
        <w:ind w:firstLine="643" w:firstLineChars="200"/>
        <w:jc w:val="left"/>
        <w:rPr>
          <w:rFonts w:ascii="仿宋_GB2312" w:hAnsi="仿宋" w:eastAsia="仿宋_GB2312" w:cs="仿宋"/>
          <w:kern w:val="0"/>
          <w:sz w:val="32"/>
          <w:szCs w:val="32"/>
        </w:rPr>
      </w:pPr>
      <w:r>
        <w:rPr>
          <w:rFonts w:hint="eastAsia" w:ascii="仿宋_GB2312" w:hAnsi="仿宋" w:eastAsia="仿宋_GB2312" w:cs="仿宋"/>
          <w:b/>
          <w:bCs/>
          <w:kern w:val="0"/>
          <w:sz w:val="32"/>
          <w:szCs w:val="32"/>
        </w:rPr>
        <w:t>3、严格奖惩。</w:t>
      </w:r>
      <w:r>
        <w:rPr>
          <w:rFonts w:hint="eastAsia" w:ascii="仿宋_GB2312" w:hAnsi="仿宋" w:eastAsia="仿宋_GB2312" w:cs="仿宋"/>
          <w:kern w:val="0"/>
          <w:sz w:val="32"/>
          <w:szCs w:val="32"/>
        </w:rPr>
        <w:t>抽调政治素质高，业务能力强，纪律作风硬的人员组成政务公开监督小组，对各科室政务公开情况进行经常性监督检查。自觉接受群众监督，广泛听取各方面意见，及时发现和解决政务公开工作中存在的问题，政务公开工作取得了实质性进展。</w:t>
      </w:r>
    </w:p>
    <w:p>
      <w:pPr>
        <w:widowControl/>
        <w:shd w:val="clear" w:color="auto" w:fill="FFFFFF"/>
        <w:spacing w:line="5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二）取得成效。2020年我委政府信息公开工作各项责任得到了进一步落实，信息公开工作程序得到了进一步规范，各科室对政府信息重要性的认识得到了进一步提高，全委政府信息公开工作基本走上了有制度、有落实、有考核的轨道。政务公开工作的深入扎实开展，不仅提高了人民群众对工作的满意率，树立了发展改革委的良好形象，同时，也促进全委干部职工整体素质进一步提高，工作积极性和责任心进一步增强，从而有力地推进全委整体工作的扎实开展。</w:t>
      </w:r>
    </w:p>
    <w:p>
      <w:pPr>
        <w:widowControl/>
        <w:shd w:val="clear" w:color="auto" w:fill="FFFFFF"/>
        <w:spacing w:line="560" w:lineRule="exact"/>
        <w:ind w:firstLine="643" w:firstLineChars="200"/>
        <w:jc w:val="left"/>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1、进一步完善组织机构</w:t>
      </w:r>
    </w:p>
    <w:p>
      <w:pPr>
        <w:widowControl/>
        <w:shd w:val="clear" w:color="auto" w:fill="FFFFFF"/>
        <w:spacing w:line="5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我委把政府信息公开纳入重要议事日程。一是加强组织领导。成立领导小组，由委党组书记、主任李德刚任组长，副主任郭东升、四级调研员闫建炜任副组长，相关科室主要负责人为成员，配备兼职政府信息公开工作人员3名。二是建立健全工作机制，修订《忻州市发展改革委政府信息公开工作制度》，对各科室信息公开的内容、方式、程序进一步明确。按照“谁主管、谁负责，谁公开、谁审查”的原则，对拟公开的信息进行责任审查。三是做好保密审查工作。公文起草人员拟制公文或信息时，按照《保密法》《市发展改革委保密工作制度》对其是否涉密进行初审，科室负责人对拟制的公文或信息提出审批意见，由分管主任审批，办公室核稿审核把关确定。</w:t>
      </w:r>
    </w:p>
    <w:p>
      <w:pPr>
        <w:widowControl/>
        <w:shd w:val="clear" w:color="auto" w:fill="FFFFFF"/>
        <w:spacing w:line="560" w:lineRule="exact"/>
        <w:ind w:firstLine="643" w:firstLineChars="200"/>
        <w:jc w:val="left"/>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2、主动抓好工作落实</w:t>
      </w:r>
    </w:p>
    <w:p>
      <w:pPr>
        <w:spacing w:line="560" w:lineRule="exact"/>
        <w:ind w:firstLine="645"/>
        <w:rPr>
          <w:rFonts w:ascii="仿宋_GB2312" w:hAnsi="仿宋" w:eastAsia="仿宋_GB2312" w:cs="仿宋"/>
          <w:kern w:val="0"/>
          <w:sz w:val="32"/>
          <w:szCs w:val="32"/>
        </w:rPr>
      </w:pPr>
      <w:r>
        <w:rPr>
          <w:rFonts w:hint="eastAsia" w:ascii="仿宋_GB2312" w:hAnsi="仿宋" w:eastAsia="仿宋_GB2312" w:cs="仿宋"/>
          <w:kern w:val="0"/>
          <w:sz w:val="32"/>
          <w:szCs w:val="32"/>
        </w:rPr>
        <w:t>根据国家和省发改委的要求，及时更新行政事业性收费目录清单。我市市本级行政事业性收费目录清单和收费标准政策，实行了常态化公示，公示的内容包括：《行政事业性收费目录清单》、《涉企行政事业性目录清单》、《考试考务费目录清单》《免征小微企业行政事业性收费项目目录清单》等。</w:t>
      </w:r>
    </w:p>
    <w:p>
      <w:pPr>
        <w:spacing w:line="560" w:lineRule="exact"/>
        <w:ind w:firstLine="640" w:firstLineChars="200"/>
        <w:rPr>
          <w:rFonts w:ascii="仿宋_GB2312" w:hAnsi="仿宋" w:eastAsia="仿宋_GB2312" w:cs="仿宋"/>
          <w:sz w:val="32"/>
        </w:rPr>
      </w:pPr>
      <w:r>
        <w:rPr>
          <w:rFonts w:hint="eastAsia" w:ascii="仿宋_GB2312" w:hAnsi="仿宋" w:eastAsia="仿宋_GB2312" w:cs="仿宋"/>
          <w:sz w:val="32"/>
        </w:rPr>
        <w:t>按照相关文件要求，进一步推行权责清单制度，加强动态管理。按照政务服务“四级四同”要求和机构改革后调整事项，及时梳理调整我委权责清单，并及时在政务服务网站进行公示。</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全面推行“双随机、一公开”监管，及时向社会公布随机抽查事项清单动态调整情况。公示粮食收购专项检查及市场监督检查事项和检查结果6次。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shd w:val="clear" w:color="auto" w:fill="FFFFFF"/>
        </w:rPr>
        <w:t>行政许可、行政处罚信息公示情况。</w:t>
      </w:r>
      <w:r>
        <w:rPr>
          <w:rFonts w:hint="eastAsia" w:ascii="仿宋_GB2312" w:hAnsi="仿宋" w:eastAsia="仿宋_GB2312" w:cs="仿宋"/>
          <w:sz w:val="32"/>
          <w:szCs w:val="32"/>
        </w:rPr>
        <w:t>按照《国家发展改革委办公厅、国家市场监管总局办公厅关于更新调整行政许可和行政处罚等信用信息数据归集公示标准的通知》（发改办财金〔2018〕790号）要求做好行政许可和行政处罚等信用信息归集公示工作，2020年，我委在部门网站公示行政许可信息13条，行政处罚信息1条。</w:t>
      </w:r>
    </w:p>
    <w:p>
      <w:pPr>
        <w:widowControl/>
        <w:shd w:val="clear" w:color="auto" w:fill="FFFFFF"/>
        <w:spacing w:line="56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kern w:val="0"/>
          <w:sz w:val="32"/>
          <w:szCs w:val="32"/>
        </w:rPr>
        <w:t>3、</w:t>
      </w:r>
      <w:r>
        <w:rPr>
          <w:rFonts w:hint="eastAsia" w:ascii="仿宋_GB2312" w:hAnsi="仿宋" w:eastAsia="仿宋_GB2312" w:cs="仿宋"/>
          <w:b/>
          <w:bCs/>
          <w:sz w:val="32"/>
          <w:szCs w:val="32"/>
        </w:rPr>
        <w:t>围绕重点工作推进政务公开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认真贯彻落实省委、省政府和市委、市政府深化转型项目建设各项工作部署，坚持项目“为王”，不断优化和改善项目建设投资环境，持续加快基础设施、社会民生和产业转型三大领域项目建设步伐，开展了“项目手续集中办理月”“项目集中开工月”“进工地、到一线、解难题”等系列专题活动，服务项目4844人次，解决问题327个，推动486个新建项目集中开工</w:t>
      </w:r>
      <w:r>
        <w:rPr>
          <w:rFonts w:hint="eastAsia" w:ascii="仿宋" w:hAnsi="仿宋" w:eastAsia="仿宋" w:cs="仿宋"/>
          <w:sz w:val="32"/>
          <w:szCs w:val="32"/>
        </w:rPr>
        <w:t>，</w:t>
      </w:r>
      <w:r>
        <w:rPr>
          <w:rFonts w:hint="eastAsia" w:ascii="仿宋_GB2312" w:hAnsi="仿宋" w:eastAsia="仿宋_GB2312" w:cs="仿宋"/>
          <w:sz w:val="32"/>
          <w:szCs w:val="32"/>
        </w:rPr>
        <w:t>完成固定资产省市重点工程292.13亿元。对此类信息，及时进行了公开。</w:t>
      </w:r>
    </w:p>
    <w:p>
      <w:pPr>
        <w:widowControl/>
        <w:shd w:val="clear" w:color="auto" w:fill="FFFFFF"/>
        <w:spacing w:line="560"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rPr>
        <w:t>牵头起草市委经济运行专题会议、市政府经济运行会议分析报告，向市委、市政府提出一系列“六稳”“六保”“六新”工作建议。按月召开固定资产投资、转型项目建设、重点工程、高质量绩效综合考核“四合一”调度会议，发现问题，提前预警，超前部署。全年地区生产总值完成1034.6亿元，固定资产投资完成595.1亿元，再创历史新高。在不同时期，及时公开信息，接受社会监督，促进工作顺利开展。</w:t>
      </w:r>
    </w:p>
    <w:p>
      <w:pPr>
        <w:widowControl/>
        <w:shd w:val="clear" w:color="auto" w:fill="FFFFFF"/>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二、主动公开政府信息情况</w:t>
      </w:r>
    </w:p>
    <w:p>
      <w:pPr>
        <w:widowControl/>
        <w:shd w:val="clear" w:color="auto" w:fill="FFFFFF"/>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2020年，我委信息公开总数为1995条，其中：部门动态333条，经济动态367条，价格管理131条，项目建设115条，公告公示53条，政策解读35条，党务公开33条，委内文件24条，优化营商环境5条，计划规划5条，重点领域服务2条，专题集锦3条。互动交流共收到留言15条，全部办理。</w:t>
      </w:r>
    </w:p>
    <w:p>
      <w:pPr>
        <w:widowControl/>
        <w:shd w:val="clear" w:color="auto" w:fill="FFFFFF"/>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另外，国务院重要信息转载量306条，省政府重要信息转载量275条，市政府重要信息转载量270条。</w:t>
      </w:r>
    </w:p>
    <w:p>
      <w:pPr>
        <w:widowControl/>
        <w:shd w:val="clear" w:color="auto" w:fill="FFFFFF"/>
        <w:spacing w:line="560" w:lineRule="exact"/>
        <w:ind w:firstLine="640" w:firstLineChars="200"/>
        <w:jc w:val="left"/>
        <w:rPr>
          <w:rFonts w:ascii="仿宋" w:hAnsi="仿宋" w:eastAsia="仿宋" w:cs="仿宋"/>
          <w:sz w:val="32"/>
          <w:szCs w:val="32"/>
        </w:rPr>
      </w:pPr>
    </w:p>
    <w:tbl>
      <w:tblPr>
        <w:tblStyle w:val="6"/>
        <w:tblW w:w="8140" w:type="dxa"/>
        <w:jc w:val="center"/>
        <w:tblLayout w:type="fixed"/>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本年新</w:t>
            </w:r>
            <w:r>
              <w:rPr>
                <w:rFonts w:hint="eastAsia"/>
                <w:color w:val="000000"/>
                <w:kern w:val="0"/>
                <w:sz w:val="20"/>
              </w:rPr>
              <w:br w:type="textWrapping"/>
            </w:r>
            <w:r>
              <w:rPr>
                <w:rFonts w:hint="eastAsia" w:ascii="宋体" w:hAnsi="宋体"/>
                <w:color w:val="000000"/>
                <w:kern w:val="0"/>
                <w:sz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本年新</w:t>
            </w:r>
            <w:r>
              <w:rPr>
                <w:rFonts w:hint="eastAsia"/>
                <w:color w:val="000000"/>
                <w:kern w:val="0"/>
                <w:sz w:val="20"/>
              </w:rPr>
              <w:br w:type="textWrapping"/>
            </w:r>
            <w:r>
              <w:rPr>
                <w:rFonts w:hint="eastAsia" w:ascii="宋体" w:hAnsi="宋体"/>
                <w:color w:val="000000"/>
                <w:kern w:val="0"/>
                <w:sz w:val="20"/>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　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本年增加</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行政许可</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　1</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其他对外管理服务事项</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本年增加</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行政处罚</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　12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4</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5</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行政强制</w:t>
            </w:r>
          </w:p>
        </w:tc>
        <w:tc>
          <w:tcPr>
            <w:tcW w:w="1881" w:type="dxa"/>
            <w:gridSpan w:val="2"/>
            <w:tcBorders>
              <w:top w:val="nil"/>
              <w:left w:val="nil"/>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　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-2</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宋体" w:hAnsi="宋体"/>
                <w:color w:val="000000"/>
                <w:kern w:val="0"/>
                <w:sz w:val="20"/>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　16</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4"/>
              </w:rPr>
              <w:t>208.233493万元</w:t>
            </w:r>
          </w:p>
        </w:tc>
      </w:tr>
    </w:tbl>
    <w:p>
      <w:pPr>
        <w:widowControl/>
        <w:ind w:firstLine="480"/>
        <w:rPr>
          <w:color w:val="000000"/>
          <w:kern w:val="0"/>
          <w:sz w:val="24"/>
        </w:rPr>
      </w:pPr>
    </w:p>
    <w:p>
      <w:pPr>
        <w:widowControl/>
        <w:shd w:val="clear" w:color="auto" w:fill="FFFFFF"/>
        <w:spacing w:line="580" w:lineRule="exact"/>
        <w:ind w:firstLine="643" w:firstLineChars="200"/>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三、收到和处理政府信息公开申请情况</w:t>
      </w:r>
    </w:p>
    <w:tbl>
      <w:tblPr>
        <w:tblStyle w:val="6"/>
        <w:tblW w:w="9071" w:type="dxa"/>
        <w:jc w:val="center"/>
        <w:tblLayout w:type="fixed"/>
        <w:tblCellMar>
          <w:top w:w="15" w:type="dxa"/>
          <w:left w:w="15" w:type="dxa"/>
          <w:bottom w:w="15" w:type="dxa"/>
          <w:right w:w="15" w:type="dxa"/>
        </w:tblCellMar>
      </w:tblPr>
      <w:tblGrid>
        <w:gridCol w:w="494"/>
        <w:gridCol w:w="855"/>
        <w:gridCol w:w="2130"/>
        <w:gridCol w:w="825"/>
        <w:gridCol w:w="765"/>
        <w:gridCol w:w="765"/>
        <w:gridCol w:w="825"/>
        <w:gridCol w:w="990"/>
        <w:gridCol w:w="720"/>
        <w:gridCol w:w="702"/>
      </w:tblGrid>
      <w:tr>
        <w:tblPrEx>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申请人情况</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r>
      <w:tr>
        <w:tblPrEx>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2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color w:val="000000"/>
                <w:kern w:val="0"/>
                <w:sz w:val="24"/>
              </w:rPr>
            </w:pP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3</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3</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vAlign w:val="center"/>
          </w:tcPr>
          <w:p>
            <w:pPr>
              <w:widowControl/>
              <w:jc w:val="center"/>
              <w:rPr>
                <w:color w:val="000000"/>
                <w:kern w:val="0"/>
                <w:sz w:val="24"/>
              </w:rPr>
            </w:pPr>
            <w:r>
              <w:rPr>
                <w:rFonts w:hint="eastAsia" w:ascii="宋体" w:hAnsi="宋体"/>
                <w:color w:val="000000"/>
                <w:kern w:val="0"/>
                <w:sz w:val="20"/>
              </w:rPr>
              <w:t>三、本年度办理结果</w:t>
            </w: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3</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3</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1</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1</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855"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ascii="楷体" w:hAnsi="楷体" w:eastAsia="楷体"/>
                <w:color w:val="000000"/>
                <w:kern w:val="0"/>
                <w:sz w:val="20"/>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2985" w:type="dxa"/>
            <w:gridSpan w:val="2"/>
            <w:tcBorders>
              <w:top w:val="nil"/>
              <w:left w:val="nil"/>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楷体" w:hAnsi="楷体" w:eastAsia="楷体"/>
                <w:color w:val="000000"/>
                <w:kern w:val="0"/>
                <w:sz w:val="20"/>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r>
      <w:tr>
        <w:tblPrEx>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vAlign w:val="center"/>
          </w:tcPr>
          <w:p>
            <w:pPr>
              <w:widowControl/>
              <w:jc w:val="left"/>
              <w:rPr>
                <w:color w:val="000000"/>
                <w:kern w:val="0"/>
                <w:sz w:val="24"/>
              </w:rPr>
            </w:pPr>
            <w:r>
              <w:rPr>
                <w:rFonts w:hint="eastAsia" w:ascii="宋体" w:hAnsi="宋体"/>
                <w:color w:val="000000"/>
                <w:kern w:val="0"/>
                <w:sz w:val="20"/>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4"/>
              </w:rPr>
              <w:t>0</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b/>
          <w:color w:val="000000"/>
          <w:kern w:val="0"/>
          <w:sz w:val="32"/>
          <w:szCs w:val="32"/>
        </w:rPr>
      </w:pPr>
      <w:r>
        <w:rPr>
          <w:rFonts w:ascii="仿宋_GB2312" w:hAnsi="仿宋" w:eastAsia="仿宋_GB2312" w:cs="仿宋"/>
          <w:kern w:val="0"/>
          <w:sz w:val="32"/>
          <w:szCs w:val="32"/>
        </w:rPr>
        <w:t>20</w:t>
      </w:r>
      <w:r>
        <w:rPr>
          <w:rFonts w:hint="eastAsia" w:ascii="仿宋_GB2312" w:hAnsi="仿宋" w:eastAsia="仿宋_GB2312" w:cs="仿宋"/>
          <w:kern w:val="0"/>
          <w:sz w:val="32"/>
          <w:szCs w:val="32"/>
        </w:rPr>
        <w:t>20年度无被申请行政复议、行政诉讼的情况。</w:t>
      </w:r>
    </w:p>
    <w:tbl>
      <w:tblPr>
        <w:tblStyle w:val="6"/>
        <w:tblW w:w="9071" w:type="dxa"/>
        <w:jc w:val="center"/>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 w:val="24"/>
              </w:rPr>
            </w:pPr>
          </w:p>
        </w:tc>
        <w:tc>
          <w:tcPr>
            <w:tcW w:w="604" w:type="dxa"/>
            <w:vMerge w:val="continue"/>
            <w:tcBorders>
              <w:top w:val="nil"/>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604"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658"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color w:val="000000"/>
                <w:kern w:val="0"/>
                <w:sz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ascii="宋体" w:hAnsi="宋体"/>
                <w:color w:val="000000"/>
                <w:kern w:val="0"/>
                <w:sz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eastAsia="Calibri"/>
                <w:color w:val="000000"/>
                <w:kern w:val="0"/>
                <w:sz w:val="20"/>
              </w:rPr>
              <w:t> </w:t>
            </w:r>
            <w:r>
              <w:rPr>
                <w:rFonts w:hint="eastAsia"/>
                <w:color w:val="000000"/>
                <w:kern w:val="0"/>
                <w:sz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w:t>
            </w:r>
            <w:r>
              <w:rPr>
                <w:rFonts w:eastAsia="Calibri"/>
                <w:color w:val="000000"/>
                <w:kern w:val="0"/>
                <w:sz w:val="20"/>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 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0 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color w:val="000000"/>
                <w:kern w:val="0"/>
                <w:sz w:val="24"/>
              </w:rPr>
            </w:pPr>
            <w:r>
              <w:rPr>
                <w:rFonts w:hint="eastAsia"/>
                <w:color w:val="000000"/>
                <w:kern w:val="0"/>
                <w:sz w:val="20"/>
              </w:rPr>
              <w:t> 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color w:val="000000"/>
                <w:kern w:val="0"/>
                <w:sz w:val="24"/>
              </w:rPr>
            </w:pPr>
            <w:r>
              <w:rPr>
                <w:rFonts w:hint="eastAsia"/>
                <w:color w:val="000000"/>
                <w:kern w:val="0"/>
                <w:sz w:val="24"/>
              </w:rPr>
              <w:t>0</w:t>
            </w:r>
          </w:p>
        </w:tc>
      </w:tr>
    </w:tbl>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五、存在的主要问题及改进情况</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我委的政府信息公开工作虽然取得了较好的成绩，但通过工作实践，还有一些问题需要改进和提高。存在公开信息质量不高。存在公文类信息多，解读性信息少；静态性信息多，有分析、有建议的信息少；初级信息多，深加工的信息少等问题。</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Times New Roman" w:eastAsia="仿宋_GB2312"/>
          <w:sz w:val="32"/>
          <w:szCs w:val="32"/>
        </w:rPr>
        <w:t>2021年，</w:t>
      </w:r>
      <w:r>
        <w:rPr>
          <w:rFonts w:hint="eastAsia" w:ascii="仿宋_GB2312" w:hAnsi="仿宋" w:eastAsia="仿宋_GB2312" w:cs="仿宋"/>
          <w:kern w:val="0"/>
          <w:sz w:val="32"/>
          <w:szCs w:val="32"/>
        </w:rPr>
        <w:t>我们将加大对政府信息公开工作的落实力度，具体抓好以下工作。</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一是进一步提高思想认识。将政府信息公开工作摆上全委工作的重要位置，在全委上下形成了“领导带头、全员参与”报送信息的良好氛围。</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二是进一步落实工作责任。充分发挥主体职能作用，达到以职能促效能的良好效果。完善政府信息公开工作的责任机制。</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三是进一步增强公开效果。切实增强信息发布的针对性，充分发挥信息公开的主渠道作用，充分发挥信息公开的时效和宣传作用，确保效果。</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jc w:val="left"/>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六、其他需要报告的事项</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textAlignment w:val="auto"/>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无其他需要报告的事项</w:t>
      </w:r>
    </w:p>
    <w:p>
      <w:pPr>
        <w:widowControl/>
        <w:shd w:val="clear" w:color="auto" w:fill="FFFFFF"/>
        <w:wordWrap w:val="0"/>
        <w:spacing w:line="640" w:lineRule="exact"/>
        <w:rPr>
          <w:rFonts w:ascii="仿宋_GB2312" w:hAnsi="仿宋" w:eastAsia="仿宋_GB2312" w:cs="仿宋"/>
          <w:kern w:val="0"/>
          <w:sz w:val="32"/>
          <w:szCs w:val="32"/>
        </w:rPr>
      </w:pPr>
      <w:bookmarkStart w:id="0" w:name="_GoBack"/>
      <w:bookmarkEnd w:id="0"/>
    </w:p>
    <w:p>
      <w:pPr>
        <w:widowControl/>
        <w:shd w:val="clear" w:color="auto" w:fill="FFFFFF"/>
        <w:wordWrap w:val="0"/>
        <w:spacing w:line="640" w:lineRule="exact"/>
        <w:rPr>
          <w:rFonts w:ascii="仿宋_GB2312" w:hAnsi="仿宋" w:eastAsia="仿宋_GB2312" w:cs="仿宋"/>
          <w:kern w:val="0"/>
          <w:sz w:val="32"/>
          <w:szCs w:val="32"/>
        </w:rPr>
      </w:pPr>
    </w:p>
    <w:p>
      <w:pPr>
        <w:widowControl/>
        <w:shd w:val="clear" w:color="auto" w:fill="FFFFFF"/>
        <w:spacing w:line="6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忻州市发展和改革委员会</w:t>
      </w:r>
    </w:p>
    <w:p>
      <w:pPr>
        <w:widowControl/>
        <w:shd w:val="clear" w:color="auto" w:fill="FFFFFF"/>
        <w:spacing w:line="640" w:lineRule="exact"/>
        <w:jc w:val="center"/>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2021年1月28日</w:t>
      </w:r>
    </w:p>
    <w:sectPr>
      <w:footerReference r:id="rId5" w:type="default"/>
      <w:pgSz w:w="11906" w:h="16838"/>
      <w:pgMar w:top="1440" w:right="1800" w:bottom="1440"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0D"/>
    <w:rsid w:val="0009068E"/>
    <w:rsid w:val="000B3ECB"/>
    <w:rsid w:val="000C19FE"/>
    <w:rsid w:val="001058E0"/>
    <w:rsid w:val="001505D9"/>
    <w:rsid w:val="00214588"/>
    <w:rsid w:val="00220C54"/>
    <w:rsid w:val="002210B5"/>
    <w:rsid w:val="00277D24"/>
    <w:rsid w:val="002C348A"/>
    <w:rsid w:val="002E4521"/>
    <w:rsid w:val="003127C5"/>
    <w:rsid w:val="00333E06"/>
    <w:rsid w:val="003A44AA"/>
    <w:rsid w:val="003D6059"/>
    <w:rsid w:val="004B45D3"/>
    <w:rsid w:val="004E6734"/>
    <w:rsid w:val="005111D1"/>
    <w:rsid w:val="006264D4"/>
    <w:rsid w:val="00631DB8"/>
    <w:rsid w:val="006E10FA"/>
    <w:rsid w:val="007C20FC"/>
    <w:rsid w:val="007D07F1"/>
    <w:rsid w:val="00830A25"/>
    <w:rsid w:val="008738B7"/>
    <w:rsid w:val="00880D8C"/>
    <w:rsid w:val="00893E53"/>
    <w:rsid w:val="00915382"/>
    <w:rsid w:val="00983739"/>
    <w:rsid w:val="009B28D9"/>
    <w:rsid w:val="00A426BC"/>
    <w:rsid w:val="00A72CEF"/>
    <w:rsid w:val="00AA26C7"/>
    <w:rsid w:val="00AB4457"/>
    <w:rsid w:val="00AC39AD"/>
    <w:rsid w:val="00B001D6"/>
    <w:rsid w:val="00B039F0"/>
    <w:rsid w:val="00BC2797"/>
    <w:rsid w:val="00BE5F0D"/>
    <w:rsid w:val="00C04A69"/>
    <w:rsid w:val="00D34A5A"/>
    <w:rsid w:val="00D51B52"/>
    <w:rsid w:val="00D57A15"/>
    <w:rsid w:val="00D75AF4"/>
    <w:rsid w:val="00D83B94"/>
    <w:rsid w:val="00D9035B"/>
    <w:rsid w:val="00DB46F4"/>
    <w:rsid w:val="00DB76E2"/>
    <w:rsid w:val="00DE6594"/>
    <w:rsid w:val="00E0750E"/>
    <w:rsid w:val="00E66F2B"/>
    <w:rsid w:val="00EE76BA"/>
    <w:rsid w:val="00F07EB1"/>
    <w:rsid w:val="00F21568"/>
    <w:rsid w:val="00F6729A"/>
    <w:rsid w:val="07FC5ADB"/>
    <w:rsid w:val="09856417"/>
    <w:rsid w:val="0993203B"/>
    <w:rsid w:val="0BB630D9"/>
    <w:rsid w:val="0E2402C8"/>
    <w:rsid w:val="13F800E6"/>
    <w:rsid w:val="213B3AF9"/>
    <w:rsid w:val="214B786B"/>
    <w:rsid w:val="31092B08"/>
    <w:rsid w:val="3B0A6ADF"/>
    <w:rsid w:val="46486B68"/>
    <w:rsid w:val="4B0B241D"/>
    <w:rsid w:val="4DD17268"/>
    <w:rsid w:val="602021FB"/>
    <w:rsid w:val="79084E85"/>
    <w:rsid w:val="7E08509E"/>
    <w:rsid w:val="7F68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99"/>
    <w:rPr>
      <w:rFonts w:cs="Times New Roman"/>
    </w:rPr>
  </w:style>
  <w:style w:type="character" w:styleId="9">
    <w:name w:val="FollowedHyperlink"/>
    <w:basedOn w:val="7"/>
    <w:semiHidden/>
    <w:unhideWhenUsed/>
    <w:qFormat/>
    <w:uiPriority w:val="99"/>
    <w:rPr>
      <w:color w:val="222222"/>
      <w:u w:val="none"/>
    </w:rPr>
  </w:style>
  <w:style w:type="character" w:styleId="10">
    <w:name w:val="Hyperlink"/>
    <w:basedOn w:val="7"/>
    <w:semiHidden/>
    <w:unhideWhenUsed/>
    <w:qFormat/>
    <w:uiPriority w:val="99"/>
    <w:rPr>
      <w:color w:val="222222"/>
      <w:u w:val="none"/>
    </w:rPr>
  </w:style>
  <w:style w:type="paragraph" w:customStyle="1" w:styleId="11">
    <w:name w:val="列出段落1"/>
    <w:basedOn w:val="1"/>
    <w:qFormat/>
    <w:uiPriority w:val="99"/>
    <w:pPr>
      <w:ind w:firstLine="420" w:firstLineChars="200"/>
    </w:pPr>
  </w:style>
  <w:style w:type="paragraph" w:customStyle="1" w:styleId="12">
    <w:name w:val="Char"/>
    <w:basedOn w:val="1"/>
    <w:qFormat/>
    <w:uiPriority w:val="99"/>
    <w:rPr>
      <w:szCs w:val="24"/>
    </w:rPr>
  </w:style>
  <w:style w:type="character" w:customStyle="1" w:styleId="13">
    <w:name w:val="日期 Char"/>
    <w:basedOn w:val="7"/>
    <w:link w:val="2"/>
    <w:qFormat/>
    <w:uiPriority w:val="99"/>
    <w:rPr>
      <w:rFonts w:ascii="Calibri" w:hAnsi="Calibri" w:cs="Times New Roman"/>
      <w:kern w:val="2"/>
      <w:sz w:val="22"/>
      <w:szCs w:val="22"/>
    </w:rPr>
  </w:style>
  <w:style w:type="character" w:customStyle="1" w:styleId="14">
    <w:name w:val="页脚 Char"/>
    <w:basedOn w:val="7"/>
    <w:link w:val="3"/>
    <w:qFormat/>
    <w:uiPriority w:val="99"/>
    <w:rPr>
      <w:rFonts w:ascii="Calibri" w:hAnsi="Calibri"/>
      <w:sz w:val="18"/>
      <w:szCs w:val="18"/>
    </w:rPr>
  </w:style>
  <w:style w:type="character" w:customStyle="1" w:styleId="15">
    <w:name w:val="页眉 Char"/>
    <w:basedOn w:val="7"/>
    <w:link w:val="4"/>
    <w:qFormat/>
    <w:uiPriority w:val="99"/>
    <w:rPr>
      <w:rFonts w:ascii="Calibri" w:hAnsi="Calibri" w:cs="Times New Roman"/>
      <w:kern w:val="2"/>
      <w:sz w:val="18"/>
      <w:szCs w:val="18"/>
    </w:rPr>
  </w:style>
  <w:style w:type="character" w:customStyle="1" w:styleId="16">
    <w:name w:val="owl-numbers"/>
    <w:basedOn w:val="7"/>
    <w:qFormat/>
    <w:uiPriority w:val="0"/>
    <w:rPr>
      <w:color w:val="FFFFFF"/>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613</Words>
  <Characters>3495</Characters>
  <Lines>29</Lines>
  <Paragraphs>8</Paragraphs>
  <TotalTime>214</TotalTime>
  <ScaleCrop>false</ScaleCrop>
  <LinksUpToDate>false</LinksUpToDate>
  <CharactersWithSpaces>4100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2019-02-25T00:37:00Z</dcterms:created>
  <dc:creator>lenovo</dc:creator>
  <cp:lastModifiedBy>Administrator</cp:lastModifiedBy>
  <cp:lastPrinted>2020-02-21T09:15:00Z</cp:lastPrinted>
  <dcterms:modified xsi:type="dcterms:W3CDTF">2021-01-29T08:10:19Z</dcterms:modified>
  <dc:title>忻州市发展和改革委员会</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